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650" w:rsidRPr="00A3203E" w:rsidRDefault="00AD7650" w:rsidP="00AD7650">
      <w:pPr>
        <w:ind w:firstLine="567"/>
        <w:jc w:val="both"/>
        <w:rPr>
          <w:sz w:val="28"/>
          <w:szCs w:val="28"/>
        </w:rPr>
      </w:pPr>
      <w:bookmarkStart w:id="0" w:name="_GoBack"/>
      <w:bookmarkEnd w:id="0"/>
      <w:r w:rsidRPr="00A3203E">
        <w:rPr>
          <w:sz w:val="28"/>
          <w:szCs w:val="28"/>
        </w:rPr>
        <w:t>1.3. Объектами муниципального контроля (далее – объект контроля) являются:</w:t>
      </w:r>
    </w:p>
    <w:p w:rsidR="00AD7650" w:rsidRPr="00A3203E" w:rsidRDefault="00AD7650" w:rsidP="00AD7650">
      <w:pPr>
        <w:ind w:firstLine="567"/>
        <w:jc w:val="both"/>
        <w:rPr>
          <w:b/>
          <w:sz w:val="28"/>
          <w:szCs w:val="28"/>
        </w:rPr>
      </w:pPr>
      <w:r w:rsidRPr="00A3203E">
        <w:rPr>
          <w:sz w:val="28"/>
          <w:szCs w:val="28"/>
        </w:rPr>
        <w:t xml:space="preserve">1.3.1.деятельность, действия (бездействие) контролируемых лиц </w:t>
      </w:r>
      <w:r w:rsidRPr="00A3203E">
        <w:rPr>
          <w:spacing w:val="2"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Pr="00A3203E">
        <w:rPr>
          <w:sz w:val="28"/>
          <w:szCs w:val="28"/>
        </w:rPr>
        <w:t xml:space="preserve">, в </w:t>
      </w:r>
      <w:proofErr w:type="gramStart"/>
      <w:r w:rsidRPr="00A3203E">
        <w:rPr>
          <w:sz w:val="28"/>
          <w:szCs w:val="28"/>
        </w:rPr>
        <w:t>рамках</w:t>
      </w:r>
      <w:proofErr w:type="gramEnd"/>
      <w:r w:rsidRPr="00A3203E">
        <w:rPr>
          <w:sz w:val="28"/>
          <w:szCs w:val="28"/>
        </w:rPr>
        <w:t xml:space="preserve">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 </w:t>
      </w:r>
    </w:p>
    <w:p w:rsidR="00AD7650" w:rsidRPr="00A3203E" w:rsidRDefault="00AD7650" w:rsidP="00AD7650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1.3.2.результаты деятельности контролируемых лиц, в том числе работы и услуги, к которым предъявляются обязательные требования;</w:t>
      </w:r>
    </w:p>
    <w:p w:rsidR="00AD7650" w:rsidRPr="00A3203E" w:rsidRDefault="00AD7650" w:rsidP="00AD7650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1.3.3. 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требования.</w:t>
      </w:r>
    </w:p>
    <w:p w:rsidR="00AD7650" w:rsidRPr="00A3203E" w:rsidRDefault="00AD7650" w:rsidP="00AD7650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1.4.Учет объектов контроля осуществляется посредством создания:</w:t>
      </w:r>
    </w:p>
    <w:p w:rsidR="00AD7650" w:rsidRPr="00A3203E" w:rsidRDefault="00AD7650" w:rsidP="00AD7650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 xml:space="preserve">единого реестра контрольных мероприятий; </w:t>
      </w:r>
    </w:p>
    <w:p w:rsidR="00AD7650" w:rsidRPr="00A3203E" w:rsidRDefault="00AD7650" w:rsidP="00AD7650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информационной системы (подсистемы государственной информационной системы) досудебного обжалования;</w:t>
      </w:r>
    </w:p>
    <w:p w:rsidR="00AD7650" w:rsidRPr="00A3203E" w:rsidRDefault="00AD7650" w:rsidP="00AD7650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иных государственных и муниципальных информационных систем путем межведомственного информационного взаимодействия.</w:t>
      </w:r>
    </w:p>
    <w:p w:rsidR="00AD7650" w:rsidRPr="00A3203E" w:rsidRDefault="00AD7650" w:rsidP="00AD7650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Администрацией в соответствии с частью 2 статьи 16 и частью 5 статьи 17 Федерального закона от 31 июля 2020 г. №248-ФЗ «О государственном контроле (надзоре) и муниципальном контроле в Российской Федерации» (далее – Федеральный закон №248-ФЗ) ведется учет объектов контроля с использованием информационной системы.</w:t>
      </w:r>
    </w:p>
    <w:p w:rsidR="0017470D" w:rsidRDefault="0017470D"/>
    <w:sectPr w:rsidR="0017470D" w:rsidSect="00174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650"/>
    <w:rsid w:val="0017470D"/>
    <w:rsid w:val="00A353D0"/>
    <w:rsid w:val="00AD7650"/>
    <w:rsid w:val="00B6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6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6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</dc:creator>
  <cp:lastModifiedBy>User</cp:lastModifiedBy>
  <cp:revision>2</cp:revision>
  <dcterms:created xsi:type="dcterms:W3CDTF">2025-11-14T11:49:00Z</dcterms:created>
  <dcterms:modified xsi:type="dcterms:W3CDTF">2025-11-14T11:49:00Z</dcterms:modified>
</cp:coreProperties>
</file>