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Обзор </w:t>
        <w:br/>
        <w:t xml:space="preserve">правоприменительной практики в части невозможности представить </w:t>
        <w:br/>
        <w:t xml:space="preserve">по объективным и уважительным причинам сведения о доходах, расходах, </w:t>
        <w:br/>
        <w:t>об имуществе и обязательствах имущественного характера своих супруги (супруга) и несовершеннолетних детей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 Общие положения</w:t>
      </w:r>
    </w:p>
    <w:p>
      <w:pPr>
        <w:pStyle w:val="Normal"/>
        <w:spacing w:lineRule="auto" w:line="276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cs="Times New Roman" w:ascii="Times New Roman" w:hAnsi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государственных внебюджетных фондов </w:t>
        <w:br/>
        <w:t xml:space="preserve">и </w:t>
      </w:r>
      <w:r>
        <w:rPr>
          <w:rFonts w:cs="Times New Roman" w:ascii="Times New Roman" w:hAnsi="Times New Roman"/>
          <w:bCs/>
          <w:sz w:val="28"/>
          <w:szCs w:val="28"/>
        </w:rPr>
        <w:t>работниками, замещающими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>
        <w:rPr>
          <w:rFonts w:cs="Times New Roman" w:ascii="Times New Roman" w:hAnsi="Times New Roman"/>
          <w:sz w:val="28"/>
          <w:szCs w:val="28"/>
        </w:rPr>
        <w:t xml:space="preserve"> (далее соответственно – служащие (работники), организации), сведения о доходах, расходах, об имуществе </w:t>
        <w:br/>
        <w:t xml:space="preserve">и обязательствах имущественного характера (далее – Сведения) своих супруги (супруга) и (или) несовершеннолетних детей. </w:t>
      </w:r>
    </w:p>
    <w:p>
      <w:pPr>
        <w:pStyle w:val="Style161"/>
        <w:widowControl/>
        <w:tabs>
          <w:tab w:val="clear" w:pos="708"/>
          <w:tab w:val="left" w:pos="1013" w:leader="none"/>
        </w:tabs>
        <w:spacing w:lineRule="auto" w:line="276"/>
        <w:ind w:right="28" w:firstLine="7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 Каждый случай непредставления по объективным причинам Сведений своих супруги (супруга) и (или) несовершеннолетних детей подлежит рассмотрению </w:t>
        <w:br/>
        <w:t>на соответствующей комиссии по соблюдению требований к служебному поведению и урегулированию конфликта интересов (аттестационной комиссии) (далее – комиссия)</w:t>
      </w:r>
      <w:r>
        <w:rPr>
          <w:rStyle w:val="Style14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 Порядок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 определяется </w:t>
      </w:r>
      <w:r>
        <w:rPr>
          <w:rFonts w:cs="Times New Roman" w:ascii="Times New Roman" w:hAnsi="Times New Roman"/>
          <w:b/>
          <w:i/>
          <w:sz w:val="28"/>
          <w:szCs w:val="28"/>
        </w:rPr>
        <w:t>нормативным правовым актом</w:t>
      </w:r>
      <w:r>
        <w:rPr>
          <w:rStyle w:val="Style14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Style161"/>
        <w:widowControl/>
        <w:tabs>
          <w:tab w:val="clear" w:pos="708"/>
          <w:tab w:val="left" w:pos="1013" w:leader="none"/>
        </w:tabs>
        <w:spacing w:lineRule="auto" w:line="276"/>
        <w:ind w:right="28" w:firstLine="7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 Поступившее в подразделение по профилактике коррупционных и иных правонарушений (далее – подразделение) Заявление является основанием </w:t>
        <w:br/>
        <w:t>для заседания комиссии</w:t>
      </w:r>
      <w:r>
        <w:rPr>
          <w:rStyle w:val="Style14"/>
          <w:rFonts w:cs="Times New Roman" w:ascii="Times New Roman" w:hAnsi="Times New Roman"/>
          <w:sz w:val="28"/>
          <w:szCs w:val="28"/>
        </w:rPr>
        <w:footnoteReference w:id="4"/>
      </w:r>
      <w:r>
        <w:rPr>
          <w:rFonts w:cs="Times New Roman" w:ascii="Times New Roman" w:hAnsi="Times New Roman"/>
          <w:sz w:val="28"/>
          <w:szCs w:val="28"/>
        </w:rPr>
        <w:t>. Таким образом, Заявления рассматриваются на заседании комиссии.</w:t>
      </w:r>
    </w:p>
    <w:p>
      <w:pPr>
        <w:pStyle w:val="Style161"/>
        <w:widowControl/>
        <w:tabs>
          <w:tab w:val="clear" w:pos="708"/>
          <w:tab w:val="left" w:pos="1013" w:leader="none"/>
        </w:tabs>
        <w:spacing w:lineRule="auto" w:line="276"/>
        <w:ind w:right="28" w:firstLine="7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об адресате Заявления на примере федерального уровня представлена в приложении № 1 к настоящему обзору.</w:t>
      </w:r>
    </w:p>
    <w:p>
      <w:pPr>
        <w:pStyle w:val="Style161"/>
        <w:widowControl/>
        <w:tabs>
          <w:tab w:val="clear" w:pos="708"/>
          <w:tab w:val="left" w:pos="1013" w:leader="none"/>
        </w:tabs>
        <w:spacing w:lineRule="auto" w:line="240"/>
        <w:ind w:right="28" w:firstLine="714"/>
        <w:rPr>
          <w:rStyle w:val="FontStyle29"/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sz w:val="28"/>
          <w:szCs w:val="28"/>
        </w:rPr>
        <w:t>. Алгоритм действий при невозможности по объективным причинам представить Сведения</w:t>
      </w:r>
      <w:r>
        <w:rPr>
          <w:rStyle w:val="Style14"/>
          <w:rFonts w:cs="Times New Roman" w:ascii="Times New Roman" w:hAnsi="Times New Roman"/>
          <w:b/>
          <w:sz w:val="28"/>
          <w:szCs w:val="28"/>
        </w:rPr>
        <w:footnoteReference w:id="5"/>
      </w:r>
    </w:p>
    <w:p>
      <w:pPr>
        <w:pStyle w:val="Normal"/>
        <w:spacing w:lineRule="auto" w:line="276" w:before="0" w:after="0"/>
        <w:ind w:firstLine="709"/>
        <w:jc w:val="both"/>
        <w:rPr>
          <w:rStyle w:val="FontStyle33"/>
          <w:bCs/>
        </w:rPr>
      </w:pPr>
      <w:r>
        <w:rPr>
          <w:bCs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Сведения своих супруги (супруга) и несовершеннолетних детей служащему (работнику) следует обратиться с Заявлением в </w:t>
      </w:r>
      <w:r>
        <w:rPr>
          <w:rFonts w:cs="Times New Roman" w:ascii="Times New Roman" w:hAnsi="Times New Roman"/>
          <w:sz w:val="28"/>
          <w:szCs w:val="28"/>
        </w:rPr>
        <w:t>подразделение</w:t>
      </w:r>
      <w:r>
        <w:rPr>
          <w:rStyle w:val="Style14"/>
          <w:rFonts w:cs="Times New Roman"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Пример Заявления, исходя из анализа правоприменительной практики, приведен в приложении № 2 к настоящему обзору.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Заявление направляется до истечения срока, установленного </w:t>
        <w:br/>
        <w:t xml:space="preserve">для представления служащим (работником) Сведений.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Подача заявления не влечет необходимость представления имеющихся </w:t>
        <w:br/>
        <w:t>в распоряжении служащего (работника) Сведений (частичных сведений) своих супруги (супруга) и несовершеннолетних детей.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Как правило, в целях подтверждения объективности и уважительности причин невозможности представления Сведений своих супруги (супруга) и (или) несовершеннолетних детей </w:t>
      </w:r>
      <w:r>
        <w:rPr>
          <w:rFonts w:cs="Times New Roman" w:ascii="Times New Roman" w:hAnsi="Times New Roman"/>
          <w:sz w:val="28"/>
          <w:szCs w:val="28"/>
        </w:rPr>
        <w:t>служащий (работник) прикладывает к Заявлению копии подтверждающих документов и иные материалы.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уведомлением), если иное не предусмотрено применимым нормативным правовым актом.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Российской Федерации </w:t>
        <w:br/>
        <w:t xml:space="preserve">не предусмотрено.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>Для граждан право направить Заявление законодательством Российской Федерации не предусмотрено.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Законодательством Российской Федерации также не предусмотрено направление Заявления служащими (работниками),</w:t>
      </w:r>
      <w:r>
        <w:rPr>
          <w:rFonts w:cs="Times New Roman" w:ascii="Times New Roman" w:hAnsi="Times New Roman"/>
          <w:sz w:val="28"/>
          <w:szCs w:val="28"/>
        </w:rPr>
        <w:t xml:space="preserve"> замещающими должности </w:t>
        <w:br/>
        <w:t xml:space="preserve">в органах публичной власти (организациях), не включенных в перечни </w:t>
      </w:r>
      <w:r>
        <w:rPr>
          <w:rFonts w:cs="Times New Roman" w:ascii="Times New Roman" w:hAnsi="Times New Roman"/>
          <w:color w:val="000000"/>
          <w:sz w:val="28"/>
          <w:szCs w:val="28"/>
        </w:rPr>
        <w:t>долж</w:t>
      </w:r>
      <w:r>
        <w:rPr>
          <w:rFonts w:cs="Times New Roman" w:ascii="Times New Roman" w:hAnsi="Times New Roman"/>
          <w:sz w:val="28"/>
          <w:szCs w:val="28"/>
        </w:rPr>
        <w:t xml:space="preserve">ностей, при замещении которых служащие (работники) обязаны представлять Сведения, </w:t>
        <w:br/>
        <w:t xml:space="preserve">и претендующими на замещение должностей в органах публичной власти </w:t>
        <w:br/>
        <w:t>и организациях, предусмотренных такими перечнями.</w:t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sz w:val="28"/>
          <w:szCs w:val="28"/>
        </w:rPr>
        <w:t>. Алгоритм действий подразделения при поступлении к ним Заявления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14. Как правило, поступившее Заявление регистрируется подразделением </w:t>
        <w:br/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  <w:br/>
        <w:t>о доходах, расходах, об имуществе и обязательствах имущественного характера своих супруги (супруга) и (или) несовершеннолетних детей (далее – журнал).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Пример журнала, исходя из анализа правоприменительной практики, приведен в приложении № 3 к настоящему обзору.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Заявление, поступившее в нерабочий (нерабочий праздничный) день </w:t>
        <w:br/>
        <w:t>или в нерабочее время, обычно регистрируется на следующий рабочий день.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 Заявление, как правило, направляется председателю комиссии, который назначает дату заседания комиссии</w:t>
      </w:r>
      <w:r>
        <w:rPr>
          <w:rStyle w:val="Style14"/>
          <w:rFonts w:cs="Times New Roman" w:ascii="Times New Roman" w:hAnsi="Times New Roman"/>
          <w:sz w:val="28"/>
          <w:szCs w:val="28"/>
        </w:rPr>
        <w:footnoteReference w:id="7"/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t>Перед направлением Заявления председателю комиссии подразделением может даваться объективная оценка разумной достаточности мер, принятых для получения необходимых сведений, а также результатов, которые были получены.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этом не предусмотрена подготовка мотивированного заключения </w:t>
        <w:br/>
        <w:t xml:space="preserve">по результатам рассмотрения Заявления и, как следствие, направление запросов </w:t>
        <w:br/>
        <w:t>для рассмотрения Заявления не требуется, но допускается.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Результаты правоприменительной практики показали, что "скриншоты" переписок из "мессенджеров" и социальных сетей, распечатки телефонных звонков, используемые в качестве материалов, подтверждающих объективность </w:t>
        <w:br/>
        <w:t xml:space="preserve">и уважительность причин непредставления Сведений своих супруги (супруга) и (или) несовершеннолетних детей, требуют дополнительного изучения. В этом случае подразделение вправе связаться, например, с лицом, в отношении которого </w:t>
        <w:br/>
        <w:t>не представлены Сведения.</w:t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sz w:val="28"/>
          <w:szCs w:val="28"/>
        </w:rPr>
        <w:t>. Рассмотрение Заявления на заседании комиссии</w:t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 Председатель комиссии при поступлении к нему Заявления организует его рассмотрение на заседании комиссии</w:t>
      </w:r>
      <w:r>
        <w:rPr>
          <w:rStyle w:val="Style14"/>
          <w:rFonts w:cs="Times New Roman" w:ascii="Times New Roman" w:hAnsi="Times New Roman"/>
          <w:sz w:val="28"/>
          <w:szCs w:val="28"/>
        </w:rPr>
        <w:footnoteReference w:id="8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17. Заседание комиссии по вопросу рассмотрения Заявления, как правило, проводится не позднее одного месяца со дня истечения срока, установленного </w:t>
        <w:br/>
        <w:t>для представления Сведений (далее – декларационная кампания)</w:t>
      </w:r>
      <w:r>
        <w:rPr>
          <w:rStyle w:val="Style14"/>
          <w:rFonts w:cs="Times New Roman" w:ascii="Times New Roman" w:hAnsi="Times New Roman"/>
          <w:sz w:val="28"/>
          <w:szCs w:val="28"/>
        </w:rPr>
        <w:footnoteReference w:id="9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Таким образом, заседание комиссии по вопросу рассмотрения Заявления может быть проведено в период декларационной кампании. В случае признания причины непредставления таких Сведений неуважительной</w:t>
      </w:r>
      <w:r>
        <w:rPr>
          <w:rStyle w:val="Style14"/>
          <w:rFonts w:cs="Times New Roman" w:ascii="Times New Roman" w:hAnsi="Times New Roman"/>
          <w:sz w:val="28"/>
          <w:szCs w:val="28"/>
        </w:rPr>
        <w:footnoteReference w:id="10"/>
      </w:r>
      <w:r>
        <w:rPr>
          <w:rFonts w:cs="Times New Roman" w:ascii="Times New Roman" w:hAnsi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кампании. В этой связи в целях предоставления служащим (работникам) возможности представить Сведения своих супруг (супругов) и (или) несовершеннолетних детей до окончания декларационной кампании заседание комиссии целесообразно проводить в период декларационной кампании.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18. При определении объективности и уважительности причин непредставления служащим (работником) Сведений своих супруги (супруга) </w:t>
        <w:br/>
        <w:t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>
        <w:rPr>
          <w:rStyle w:val="Style14"/>
          <w:rFonts w:cs="Times New Roman" w:ascii="Times New Roman" w:hAnsi="Times New Roman"/>
          <w:sz w:val="28"/>
          <w:szCs w:val="28"/>
        </w:rPr>
        <w:footnoteReference w:id="11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Сведения в связи с обязательствами, взятыми супругой (супругом) перед третьими лицами. В этом случае комиссия, как правило, рекомендует представить служащему (работнику) Сведения своих супруги (супруга) и несовершеннолетних детей.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 Председатель комиссии может принять решение о необходимости приглашения на заседание комиссии при рассмотрении Заявления иных лиц, например, представителя организации, в которой работает супруга (супруг) служащего (работника)</w:t>
      </w:r>
      <w:r>
        <w:rPr>
          <w:rStyle w:val="Style14"/>
          <w:rFonts w:cs="Times New Roman" w:ascii="Times New Roman" w:hAnsi="Times New Roman"/>
          <w:sz w:val="28"/>
          <w:szCs w:val="28"/>
        </w:rPr>
        <w:footnoteReference w:id="12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20. По итогам рассмотрения Заявления комиссия может принять одно </w:t>
        <w:br/>
        <w:t>из следующих решений</w:t>
      </w:r>
      <w:r>
        <w:rPr>
          <w:rStyle w:val="Style14"/>
          <w:rFonts w:cs="Times New Roman" w:ascii="Times New Roman" w:hAnsi="Times New Roman"/>
          <w:sz w:val="28"/>
          <w:szCs w:val="28"/>
        </w:rPr>
        <w:footnoteReference w:id="13"/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Сведений своих супруги (супруга) и (или) несовершеннолетних детей является объективной </w:t>
        <w:br/>
        <w:t>и уважительной;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признать, что причина непредставления служащим (работником) Сведений своих супруги (супруга) и (или) несовершеннолетних детей не является уважительной. В этом случае комиссия рекомендует служащему (работнику) принять меры по представлению указанных Сведений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признать, что причина непредставления служащим (работником) Сведений своих супруги (супруга) и несовершеннолетних детей необъективна и является способом уклонения от представления указанных Сведений. В случае принятия последнего решения комиссия рекомендует руководителю органа публичной власти (организации) применить к служащему (работнику) конкретную меру ответственности.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Также комиссией может быть принято иное решение (в этом случае основания и мотивы принятия такого решения </w:t>
      </w:r>
      <w:r>
        <w:rPr>
          <w:rFonts w:cs="Times New Roman" w:ascii="Times New Roman" w:hAnsi="Times New Roman"/>
          <w:sz w:val="28"/>
          <w:szCs w:val="28"/>
        </w:rPr>
        <w:t>отражаются в протоколе заседания комиссии</w:t>
      </w:r>
      <w:r>
        <w:rPr>
          <w:rStyle w:val="Style14"/>
          <w:rFonts w:cs="Times New Roman" w:ascii="Times New Roman" w:hAnsi="Times New Roman"/>
          <w:sz w:val="28"/>
          <w:szCs w:val="28"/>
        </w:rPr>
        <w:footnoteReference w:id="14"/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Обзор причин невозможности представить Сведения своих супруги (супруга) </w:t>
        <w:br/>
        <w:t>и (или) несовершеннолетних детей, которые признавались комиссией объективными и уважительными, приведен в приложении № 4.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Обзор причин невозможности представить Сведения своих супруги (супруга) </w:t>
        <w:br/>
        <w:t xml:space="preserve">и (или) несовершеннолетних детей, которые признавались комиссией неуважительными или необъективными и являющимися способом уклонения </w:t>
        <w:br/>
        <w:t>от представления таких Сведений, приведен в приложении № 5.</w:t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sectPr>
          <w:headerReference w:type="default" r:id="rId2"/>
          <w:footnotePr>
            <w:numFmt w:val="decimal"/>
          </w:footnotePr>
          <w:type w:val="nextPage"/>
          <w:pgSz w:w="11906" w:h="16838"/>
          <w:pgMar w:left="1134" w:right="567" w:header="709" w:top="1134" w:footer="0" w:bottom="1134" w:gutter="0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632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112"/>
        <w:gridCol w:w="6519"/>
      </w:tblGrid>
      <w:tr>
        <w:trPr/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лиц, замещающих государственные должности Российской Федерации, должности федеральной государственной службы, должности </w:t>
              <w:br/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  <w:br/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>
        <w:trPr/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Уполномоченное структурное подразделение Аппарата Правительства Российской Федерации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лиц, замещающих должности федеральной государственной службы, должности </w:t>
              <w:br/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  <w:br/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>
        <w:trPr/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лиц, замещающих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  <w:br/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  <w:br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>
        <w:trPr/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подразделение по профилактике коррупционных и иных правонарушений государственного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лиц, замещающих должности, включенные </w:t>
              <w:br/>
              <w:t>в перечни, установленные нормативными актами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компаний, если иное не предусмотрено нормативными правовыми актами Российской Федерации</w:t>
            </w:r>
          </w:p>
        </w:tc>
      </w:tr>
      <w:tr>
        <w:trPr/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лиц, занимающих должности, включенные </w:t>
              <w:br/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>
        <w:trPr/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атамана Всероссийского казачьего общества,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гражданина, претендующего на замещение должности атамана Всероссийского казачьего общества, или атаманов войскового казачьего общества и атаманов войскового казачьего общества, избранных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default" r:id="rId3"/>
          <w:footnotePr>
            <w:numFmt w:val="decimal"/>
          </w:footnotePr>
          <w:type w:val="nextPage"/>
          <w:pgSz w:w="11906" w:h="16838"/>
          <w:pgMar w:left="1134" w:right="567" w:header="709" w:top="1134" w:footer="0" w:bottom="1134" w:gutter="0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56"/>
        <w:gridCol w:w="4388"/>
      </w:tblGrid>
      <w:tr>
        <w:trPr/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Регистрационный номер:</w:t>
            </w:r>
          </w:p>
        </w:tc>
        <w:tc>
          <w:tcPr>
            <w:tcW w:w="43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(указывается номер, присвоенный </w:t>
              <w:br/>
              <w:t xml:space="preserve">в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журнале регистрации заявлений </w:t>
              <w:br/>
              <w:t xml:space="preserve">о невозможности по объективным причинам представить сведения </w:t>
              <w:br/>
              <w:t xml:space="preserve">о доходах, расходах, об имуществе </w:t>
              <w:br/>
              <w:t xml:space="preserve">и обязательствах имущественного характера своих супруги (супруга) </w:t>
              <w:br/>
              <w:t>и (или) несовершеннолетних детей)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5"/>
        <w:tblW w:w="93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59"/>
        <w:gridCol w:w="597"/>
        <w:gridCol w:w="254"/>
        <w:gridCol w:w="224"/>
        <w:gridCol w:w="831"/>
        <w:gridCol w:w="1355"/>
        <w:gridCol w:w="1276"/>
        <w:gridCol w:w="1361"/>
        <w:gridCol w:w="1906"/>
      </w:tblGrid>
      <w:tr>
        <w:trPr/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В </w:t>
            </w:r>
          </w:p>
        </w:tc>
        <w:tc>
          <w:tcPr>
            <w:tcW w:w="399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0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6729" w:type="dxa"/>
            <w:gridSpan w:val="5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(соответствующее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подразделение органа публичной власти или организации по профилактике коррупционных и иных правонарушений)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29" w:type="dxa"/>
            <w:gridSpan w:val="5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(указываются фамилия, имя, отчество (при наличии) полностью лица, направляющего заявление)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29" w:type="dxa"/>
            <w:gridSpan w:val="5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(замещаемая должность и структурное подразделение органа публичной власти или организации)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29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(телефон)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650" w:hRule="atLeast"/>
        </w:trPr>
        <w:tc>
          <w:tcPr>
            <w:tcW w:w="93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ЗАЯВЛЕНИЕ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о невозможности по объективным причинам представить сведения </w:t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63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>
            <w:pPr>
              <w:pStyle w:val="Normal"/>
              <w:widowControl/>
              <w:spacing w:lineRule="auto" w:line="240" w:before="0" w:after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63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(указываются фамилия, имя, отчество (при наличии) полностью супруги (супруга) </w:t>
              <w:br/>
              <w:t>и (или) несовершеннолетних детей)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41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953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(указываются все причины и обстоятельства, необходимые для того, чтобы комиссия </w:t>
              <w:br/>
              <w:t xml:space="preserve">по соблюдению требований к служебному поведению и урегулированию конфликта интересов (аттестационная комиссия) (далее – комиссия) могла сделать вывод о том, </w:t>
              <w:br/>
              <w:t xml:space="preserve">что непредставление сведений носит объективный характер)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63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Мною предприняты следующие меры по представлению указанных сведений:</w:t>
            </w:r>
          </w:p>
          <w:p>
            <w:pPr>
              <w:pStyle w:val="Normal"/>
              <w:widowControl/>
              <w:spacing w:lineRule="auto" w:line="240" w:before="0" w:after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63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363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К заявлению прилагаются следующие копии документов </w:t>
              <w:br/>
              <w:t>и дополнительные материалы (при наличии):</w:t>
            </w:r>
          </w:p>
          <w:p>
            <w:pPr>
              <w:pStyle w:val="Normal"/>
              <w:widowControl/>
              <w:spacing w:lineRule="auto" w:line="240" w:before="0" w:after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63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(указываются копии документов и дополнительные материалы)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63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63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Намереваюсь / не намереваюсь лично присутствовать на заседании комиссии (нужное подчеркнуть).</w:t>
            </w:r>
          </w:p>
          <w:p>
            <w:pPr>
              <w:pStyle w:val="Normal"/>
              <w:widowControl/>
              <w:spacing w:lineRule="auto" w:line="240" w:before="0" w:after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 принятом комиссией решении прошу проинформировать:</w:t>
            </w:r>
          </w:p>
          <w:p>
            <w:pPr>
              <w:pStyle w:val="Normal"/>
              <w:widowControl/>
              <w:spacing w:lineRule="auto" w:line="240" w:before="0" w:after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(подпись лица, направившего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6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(расшифровка подписи)</w:t>
            </w:r>
          </w:p>
        </w:tc>
      </w:tr>
      <w:tr>
        <w:trPr/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8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6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(расшифровка подписи)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default" r:id="rId4"/>
          <w:footnotePr>
            <w:numFmt w:val="decimal"/>
          </w:footnotePr>
          <w:type w:val="nextPage"/>
          <w:pgSz w:w="11906" w:h="16838"/>
          <w:pgMar w:left="1701" w:right="850" w:header="708" w:top="1134" w:footer="0" w:bottom="1134" w:gutter="0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ЖУРНАЛ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своих супруги (супруга) и (или) несовершеннолетних детей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5"/>
        <w:tblW w:w="158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3"/>
        <w:gridCol w:w="2835"/>
        <w:gridCol w:w="2693"/>
        <w:gridCol w:w="3686"/>
        <w:gridCol w:w="3261"/>
        <w:gridCol w:w="2697"/>
      </w:tblGrid>
      <w:tr>
        <w:trPr/>
        <w:tc>
          <w:tcPr>
            <w:tcW w:w="7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55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Сведения о лице, подавшем заявление</w:t>
            </w:r>
          </w:p>
        </w:tc>
        <w:tc>
          <w:tcPr>
            <w:tcW w:w="368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Фамилия, имя, отчество и статус лица, в отношении которого невозможно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26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Причины невозможности представить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269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Фамилия, имя, отчество, подпись должностного лица, принявшего заявление, и дата</w:t>
            </w:r>
          </w:p>
        </w:tc>
      </w:tr>
      <w:tr>
        <w:trPr/>
        <w:tc>
          <w:tcPr>
            <w:tcW w:w="7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Фамилия, имя, отчество полностью (при наличии)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Замещаемая (занимаемая) должность</w:t>
            </w:r>
          </w:p>
        </w:tc>
        <w:tc>
          <w:tcPr>
            <w:tcW w:w="36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6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…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default" r:id="rId5"/>
          <w:footnotePr>
            <w:numFmt w:val="decimal"/>
          </w:footnotePr>
          <w:type w:val="nextPage"/>
          <w:pgSz w:orient="landscape" w:w="16838" w:h="11906"/>
          <w:pgMar w:left="1134" w:right="1134" w:header="0" w:top="1701" w:footer="0" w:bottom="851" w:gutter="0"/>
          <w:pgNumType w:start="1"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Обзор причин невозможности представить Сведения своих супруги (супруга) </w:t>
        <w:br/>
        <w:t xml:space="preserve">и несовершеннолетних детей, которые признавались комиссией </w:t>
        <w:br/>
        <w:t>объективными и уважительными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  <w:br/>
        <w:t>и не планируют развод, признавалось объективной и уважительной причиной непредставления служащим (работником) Сведений своих супруги (супруга) и (или) несовершеннолетних детей в случае, если служащим (работником) предоставлялись следующие копии документов и материалы: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заказного письма с уведомлением, а в случае возврата такого письма служащему (работнику), как правило, прилагалась копия обеих сторон бланка извещения Ф.22.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объективной и уважительной причиной при предоставлении таких копий документов как: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 комиссия при принятии соответствующего решения может дополнительно рекомендовать служащему (работнику) представить по истечении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  <w:br/>
        <w:t>не поддерживают. В этом случае объективность и уважительность причин непредставления Сведений своих несовершеннолетних детей подтверждалась следующими копиями документов и материалами: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Объективными и уважительными причинами непредставления служащим (работником) Сведений своих супруги (супруга) и (или) несовершеннолетних детей также признавались: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смерть супруги (супруга) и несовершеннолетних детей или объявление судом их умершими в период декларационной кампании при предоставлении копии свидетельства о смерти или копии медицинского свидетельства, а также копии соответствующего решения суда;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(в этом случае </w:t>
        <w:br/>
        <w:t xml:space="preserve">в комиссию предоставлялись копии заявлений о пропаже человека или о розыске человека, поданные в органы МВД России, с отметкой об их принятии </w:t>
        <w:br/>
        <w:t>к рассмотрению);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супруги (супруга) и (или) несовершеннолетних детей при предоставлении служащим (работником) копии судебного решения;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  <w:br/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  <w:br/>
        <w:t>из следственного изолятора или исправительных учреждений;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  <w:br/>
        <w:t>и медицинскими справками;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участие супруги (супруга) в длительных командировках, объективно </w:t>
        <w:br/>
        <w:t>и уважительно препятствующих представлению Сведений;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непредставление Сведений своих супруги (супруга) в силу законодательства Российской Федерации о государственной тайне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footnoteReference w:id="15"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подтверждаемое, например, справкой из военной части об отнесении запрашиваемой информации </w:t>
        <w:br/>
        <w:t xml:space="preserve">к государственной тайне.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В ситуации, при которой прохождение военной службы супругом (супругой) </w:t>
        <w:br/>
        <w:t xml:space="preserve">не предполагает защиту в рамках законодательства Российской Федерации </w:t>
        <w:br/>
        <w:t xml:space="preserve">о государственной тайне, но содержит иную "чувствительную" информацию, </w:t>
        <w:br/>
        <w:t>как правило,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при заполнении титульного листа справки </w:t>
      </w:r>
      <w:r>
        <w:rPr>
          <w:rFonts w:cs="Times New Roman" w:ascii="Times New Roman" w:hAnsi="Times New Roman"/>
          <w:sz w:val="28"/>
          <w:szCs w:val="28"/>
        </w:rPr>
        <w:t xml:space="preserve">о доходах, расходах, </w:t>
        <w:br/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  <w:br/>
        <w:t xml:space="preserve">в отношении такого супруга (супруги), замещающего должность военной службы, допускается ограничиться исполнением надписи "Военнослужащий"; отражение </w:t>
        <w:br/>
        <w:t xml:space="preserve">в названной справке сведений о должностях военнослужащих, замещаемых ими </w:t>
        <w:br/>
        <w:t>в конкретных войсковых частях, представляется нецелесообразным.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default" r:id="rId6"/>
          <w:footnotePr>
            <w:numFmt w:val="decimal"/>
          </w:footnotePr>
          <w:type w:val="nextPage"/>
          <w:pgSz w:w="11906" w:h="16838"/>
          <w:pgMar w:left="1134" w:right="567" w:header="709" w:top="1134" w:footer="0" w:bottom="1134" w:gutter="0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5</w:t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Обзор причин невозможности представить Сведения своих супруги (супруга) </w:t>
        <w:br/>
        <w:t xml:space="preserve">и (или) несовершеннолетних детей, которые признавались комиссией неуважительными или необъективными и являющимися способом </w:t>
        <w:br/>
        <w:t>уклонения от представления таких Сведений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  <w:br/>
        <w:t xml:space="preserve">и не планируют развод, признавалось необъективной и неуважительной причиной непредставления служащим (работником) Сведений своих супруги (супруга) </w:t>
        <w:br/>
        <w:t xml:space="preserve">и несовершеннолетних детей в случае, если служащим было подано Заявление </w:t>
        <w:br/>
        <w:t>без предоставления подтверждающих копий документов и материалов.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 (копия заявления о расторжении брака, поданного в органы ЗАГС, копия искового заявления </w:t>
        <w:br/>
        <w:t>о расторжении брака).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Иные случаи представления Заявления без копий подтверждающих документов и материалов.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Нахождение в отпуске.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Непредставление служащим (работником) Сведений своих супруги (супруга) в силу адвокатской тайны</w:t>
      </w:r>
      <w:r>
        <w:rPr>
          <w:rStyle w:val="Style14"/>
          <w:rFonts w:ascii="Times New Roman" w:hAnsi="Times New Roman"/>
          <w:sz w:val="28"/>
          <w:szCs w:val="28"/>
        </w:rPr>
        <w:footnoteReference w:id="16"/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Непредставление служащим (работником) Сведений своих супруги (супруга) в силу коммерческой тайны</w:t>
      </w:r>
      <w:r>
        <w:rPr>
          <w:rStyle w:val="Style14"/>
          <w:rFonts w:ascii="Times New Roman" w:hAnsi="Times New Roman"/>
          <w:sz w:val="28"/>
          <w:szCs w:val="28"/>
        </w:rPr>
        <w:footnoteReference w:id="17"/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Непредставление служащим (работником) Сведений своих супруги (супруга) в силу брачного договора</w:t>
      </w:r>
      <w:r>
        <w:rPr>
          <w:rStyle w:val="Style14"/>
          <w:rFonts w:ascii="Times New Roman" w:hAnsi="Times New Roman"/>
          <w:sz w:val="28"/>
          <w:szCs w:val="28"/>
        </w:rPr>
        <w:footnoteReference w:id="18"/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7"/>
      <w:footnotePr>
        <w:numFmt w:val="decimal"/>
      </w:footnotePr>
      <w:type w:val="nextPage"/>
      <w:pgSz w:w="11906" w:h="16838"/>
      <w:pgMar w:left="1134" w:right="567" w:header="709" w:top="1134" w:footer="0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Bookman Old Style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(далее – Указ Президента Российской 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  <w:br/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  <w:br/>
        <w:t xml:space="preserve">в Российской Федерации, сведений о доходах, об имуществе и обязательствах имущественного характера </w:t>
        <w:br/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  <w:br/>
        <w:t>№ 460".</w:t>
      </w:r>
    </w:p>
  </w:footnote>
  <w:footnote w:id="3">
    <w:p>
      <w:pPr>
        <w:pStyle w:val="Style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См., например, абзац третий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  <w:br/>
        <w:t xml:space="preserve">по соблюдению требований к служебному поведению федеральных государственных служащих </w:t>
        <w:br/>
        <w:t>и урегулированию конфликта интересов" (далее соответственно – Положение о комиссиях, Указ Президента Российской Федерации № 821).</w:t>
      </w:r>
    </w:p>
    <w:p>
      <w:pPr>
        <w:pStyle w:val="Style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Органам государственной власти субъектов Российской Федерации, органам местного самоуправления </w:t>
        <w:br/>
        <w:t xml:space="preserve">и организациям в соответствии с пунктом 8 Указа Президента Российской Федерации № 821 </w:t>
        <w:br/>
        <w:t xml:space="preserve">и подпунктом "б" пункта 23 Указа Президента Российской Федерации от 2 апреля 2013 г. № 309 "О мерах </w:t>
        <w:br/>
        <w:t xml:space="preserve">по реализации отдельных положений Федерального закона "О противодействии коррупции" рекомендовано руководствоваться Положением о комиссиях при разработке аналогичных положений, включающих, </w:t>
        <w:br/>
        <w:t>в том числе, издание порядков поступления Заявлений.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№ 559 могут быть разрешены применимыми нормативными правовыми актами Российской Федерации, в том числе </w:t>
        <w:br/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4">
    <w:p>
      <w:pPr>
        <w:pStyle w:val="Style31"/>
        <w:rPr>
          <w:rFonts w:ascii="Times New Roman" w:hAnsi="Times New Roman" w:cs="Times New Roman"/>
          <w:sz w:val="22"/>
          <w:szCs w:val="22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См., например, абзац третий подпункта "б" пункта 16 Положения о комиссиях.</w:t>
      </w:r>
    </w:p>
  </w:footnote>
  <w:footnote w:id="5">
    <w:p>
      <w:pPr>
        <w:pStyle w:val="Style31"/>
        <w:rPr>
          <w:rFonts w:ascii="Times New Roman" w:hAnsi="Times New Roman" w:cs="Times New Roman"/>
          <w:sz w:val="22"/>
          <w:szCs w:val="22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Здесь и далее обзор исходит из позиций, закрепленных в Положении о комиссиях.</w:t>
      </w:r>
    </w:p>
  </w:footnote>
  <w:footnote w:id="6">
    <w:p>
      <w:pPr>
        <w:pStyle w:val="Style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См., например, абзац третий подпункта "б" пункта 16 Положения о комиссиях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7">
    <w:p>
      <w:pPr>
        <w:pStyle w:val="Style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См., например, пункт 18</w:t>
      </w:r>
      <w:r>
        <w:rPr>
          <w:rFonts w:cs="Times New Roman" w:ascii="Times New Roman" w:hAnsi="Times New Roman"/>
          <w:sz w:val="22"/>
          <w:szCs w:val="22"/>
          <w:vertAlign w:val="superscript"/>
        </w:rPr>
        <w:t>1</w:t>
      </w:r>
      <w:r>
        <w:rPr>
          <w:rFonts w:cs="Times New Roman" w:ascii="Times New Roman" w:hAnsi="Times New Roman"/>
          <w:sz w:val="22"/>
          <w:szCs w:val="22"/>
        </w:rPr>
        <w:t xml:space="preserve"> Положения о комиссиях.</w:t>
      </w:r>
    </w:p>
  </w:footnote>
  <w:footnote w:id="8">
    <w:p>
      <w:pPr>
        <w:pStyle w:val="Style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См., например, 18 Положения о комиссиях.</w:t>
      </w:r>
    </w:p>
  </w:footnote>
  <w:footnote w:id="9">
    <w:p>
      <w:pPr>
        <w:pStyle w:val="Style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См., например, 18</w:t>
      </w:r>
      <w:r>
        <w:rPr>
          <w:rFonts w:cs="Times New Roman" w:ascii="Times New Roman" w:hAnsi="Times New Roman"/>
          <w:sz w:val="22"/>
          <w:szCs w:val="22"/>
          <w:vertAlign w:val="superscript"/>
        </w:rPr>
        <w:t>1</w:t>
      </w:r>
      <w:r>
        <w:rPr>
          <w:rFonts w:cs="Times New Roman" w:ascii="Times New Roman" w:hAnsi="Times New Roman"/>
          <w:sz w:val="22"/>
          <w:szCs w:val="22"/>
        </w:rPr>
        <w:t xml:space="preserve"> Положения о комиссиях.</w:t>
      </w:r>
    </w:p>
  </w:footnote>
  <w:footnote w:id="10">
    <w:p>
      <w:pPr>
        <w:pStyle w:val="Style31"/>
        <w:rPr>
          <w:rFonts w:ascii="Times New Roman" w:hAnsi="Times New Roman" w:cs="Times New Roman"/>
          <w:sz w:val="22"/>
          <w:szCs w:val="22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См., например, подпункт "б" пункта 25 Положения о комиссиях.</w:t>
      </w:r>
    </w:p>
  </w:footnote>
  <w:footnote w:id="11">
    <w:p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  <w:sz w:val="22"/>
        </w:rPr>
        <w:t xml:space="preserve"> </w:t>
      </w:r>
      <w:r>
        <w:rPr>
          <w:rFonts w:cs="Times New Roman" w:ascii="Times New Roman" w:hAnsi="Times New Roman"/>
          <w:sz w:val="22"/>
        </w:rPr>
        <w:t xml:space="preserve">Так, например, объективная причина – это причина, которая существует независимо от воли служащего (работника) (например, служащий (работник) длительное время не располагает сведениями </w:t>
        <w:br/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2">
    <w:p>
      <w:pPr>
        <w:pStyle w:val="Style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См., например, абзац четвертый пункта 6.4.6 Методических рекомендаций.</w:t>
      </w:r>
    </w:p>
  </w:footnote>
  <w:footnote w:id="13">
    <w:p>
      <w:pPr>
        <w:pStyle w:val="Style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См., например, пункт 25 Положения о комиссиях.</w:t>
      </w:r>
    </w:p>
  </w:footnote>
  <w:footnote w:id="14">
    <w:p>
      <w:pPr>
        <w:pStyle w:val="Style31"/>
        <w:rPr>
          <w:rFonts w:ascii="Times New Roman" w:hAnsi="Times New Roman" w:cs="Times New Roman"/>
          <w:sz w:val="22"/>
          <w:szCs w:val="22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См., например, пункт 26 Положения о комиссиях.</w:t>
      </w:r>
    </w:p>
  </w:footnote>
  <w:footnote w:id="15"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См., например, Закон Российской Федерации от 21 июля 1993 г. № 5485-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 "Об утверждении Перечня сведений, отнесенных к государственной тайне".</w:t>
      </w:r>
    </w:p>
  </w:footnote>
  <w:footnote w:id="16"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  <w:br/>
      </w:r>
      <w:r>
        <w:rPr>
          <w:rFonts w:cs="Times New Roman" w:ascii="Times New Roman" w:hAnsi="Times New Roman"/>
        </w:rPr>
        <w:t xml:space="preserve">"Об адвокатской деятельности и адвокатуре в Российской Федерации" (далее – Федеральный закон </w:t>
        <w:br/>
        <w:t>№ 63-ФЗ) адвокатской тайной являются любые сведения, связанные с оказанием адвокатом юридической помощи своему доверителю.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силу прямого указания пункта 5 статьи 6 Кодекса профессиональной этики адвоката, принятого </w:t>
        <w:br/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Совета Федеральной палаты адвокатов 8 июля </w:t>
        <w:br/>
        <w:t>2021 г.).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Исчисление и уплата сумм налога с доходов адвокатов производятся адвокатским образованием </w:t>
        <w:br/>
        <w:t>в порядке, определенном главой 23 "Налог на доходы физических лиц" Налогового кодекса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Таким образом, представление сведений о доходах супруги (супруга), осуществляющих свою деятельно </w:t>
        <w:br/>
        <w:t>в качестве адвоката, не противоречит законодательству об адвокатской тайне.</w:t>
      </w:r>
    </w:p>
  </w:footnote>
  <w:footnote w:id="17"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Согласно пункту 1 статьи 3 Федерального закона от 29 июля 2004 г. № 98-ФЗ "О коммерческой тайне", коммерческая тайна представляет собой режим конфиденциальности информации, позволяющий </w:t>
        <w:br/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 этом режим коммерческой тайны не может быть установлен в отношении сведений о численности, </w:t>
        <w:br/>
        <w:t xml:space="preserve">о составе работников (штатное расписание), о системе оплаты труда (условия трудового договора), </w:t>
        <w:br/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 учетом того, что заработная плата входит в понятие системы оплаты труда, то эти сведения также </w:t>
        <w:br/>
        <w:t>не относятся к коммерческой тайне (см., часть 2 статьи 135 Трудового кодекса Российской Федерации).</w:t>
      </w:r>
    </w:p>
  </w:footnote>
  <w:footnote w:id="18"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  <w:br/>
        <w:t>(см., статья 40 Семейного кодекса Российской Федерации).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 этом брачный договор не может ограничивать правоспособность или дееспособность супругов </w:t>
        <w:br/>
        <w:t>(см., пункт 3 статьи 42 Семейного кодекса российской Федерации).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Представление Сведений 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  <w:br/>
        <w:t>не может быть ограничена брачным договором.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92456348"/>
    </w:sdtPr>
    <w:sdtContent>
      <w:p>
        <w:pPr>
          <w:pStyle w:val="Style2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6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9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94048145"/>
    </w:sdtPr>
    <w:sdtContent>
      <w:p>
        <w:pPr>
          <w:pStyle w:val="Style2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9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46718404"/>
    </w:sdtPr>
    <w:sdtContent>
      <w:p>
        <w:pPr>
          <w:pStyle w:val="Style2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9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51808631"/>
    </w:sdtPr>
    <w:sdtContent>
      <w:p>
        <w:pPr>
          <w:pStyle w:val="Style2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9"/>
          <w:rPr/>
        </w:pPr>
        <w:r>
          <w:rPr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39126171"/>
    </w:sdtPr>
    <w:sdtContent>
      <w:p>
        <w:pPr>
          <w:pStyle w:val="Style2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9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8" w:customStyle="1">
    <w:name w:val="Текст концевой сноски Знак"/>
    <w:link w:val="ab"/>
    <w:uiPriority w:val="99"/>
    <w:qFormat/>
    <w:rPr>
      <w:sz w:val="20"/>
    </w:rPr>
  </w:style>
  <w:style w:type="character" w:styleId="Style9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FontStyle33" w:customStyle="1">
    <w:name w:val="Font Style33"/>
    <w:basedOn w:val="DefaultParagraphFont"/>
    <w:uiPriority w:val="99"/>
    <w:qFormat/>
    <w:rPr>
      <w:rFonts w:ascii="Times New Roman" w:hAnsi="Times New Roman" w:cs="Times New Roman"/>
      <w:sz w:val="28"/>
      <w:szCs w:val="28"/>
    </w:rPr>
  </w:style>
  <w:style w:type="character" w:styleId="FontStyle29" w:customStyle="1">
    <w:name w:val="Font Style29"/>
    <w:basedOn w:val="DefaultParagraphFont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styleId="Style10" w:customStyle="1">
    <w:name w:val="Верхний колонтитул Знак"/>
    <w:basedOn w:val="DefaultParagraphFont"/>
    <w:link w:val="af1"/>
    <w:uiPriority w:val="99"/>
    <w:qFormat/>
    <w:rPr/>
  </w:style>
  <w:style w:type="character" w:styleId="Style11" w:customStyle="1">
    <w:name w:val="Нижний колонтитул Знак"/>
    <w:basedOn w:val="DefaultParagraphFont"/>
    <w:link w:val="af3"/>
    <w:uiPriority w:val="99"/>
    <w:qFormat/>
    <w:rPr/>
  </w:style>
  <w:style w:type="character" w:styleId="Style12">
    <w:name w:val="Интернет-ссылка"/>
    <w:basedOn w:val="DefaultParagraphFont"/>
    <w:uiPriority w:val="99"/>
    <w:semiHidden/>
    <w:unhideWhenUsed/>
    <w:rPr>
      <w:color w:val="0000FF"/>
      <w:u w:val="single"/>
    </w:rPr>
  </w:style>
  <w:style w:type="character" w:styleId="Style13" w:customStyle="1">
    <w:name w:val="Текст сноски Знак"/>
    <w:basedOn w:val="DefaultParagraphFont"/>
    <w:link w:val="af8"/>
    <w:uiPriority w:val="99"/>
    <w:qFormat/>
    <w:rPr>
      <w:sz w:val="20"/>
      <w:szCs w:val="20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5" w:customStyle="1">
    <w:name w:val="Текст примечания Знак"/>
    <w:basedOn w:val="DefaultParagraphFont"/>
    <w:link w:val="afb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6" w:customStyle="1">
    <w:name w:val="Текст выноски Знак"/>
    <w:basedOn w:val="DefaultParagraphFont"/>
    <w:link w:val="afe"/>
    <w:uiPriority w:val="99"/>
    <w:semiHidden/>
    <w:qFormat/>
    <w:rsid w:val="00f754a8"/>
    <w:rPr>
      <w:rFonts w:ascii="Segoe UI" w:hAnsi="Segoe UI" w:cs="Segoe UI"/>
      <w:sz w:val="18"/>
      <w:szCs w:val="18"/>
    </w:rPr>
  </w:style>
  <w:style w:type="character" w:styleId="Style17" w:customStyle="1">
    <w:name w:val="Тема примечания Знак"/>
    <w:basedOn w:val="Style15"/>
    <w:link w:val="aff0"/>
    <w:uiPriority w:val="99"/>
    <w:semiHidden/>
    <w:qFormat/>
    <w:rsid w:val="007b527a"/>
    <w:rPr>
      <w:b/>
      <w:bCs/>
      <w:sz w:val="20"/>
      <w:szCs w:val="20"/>
    </w:rPr>
  </w:style>
  <w:style w:type="character" w:styleId="Style18">
    <w:name w:val="Символ сноски"/>
    <w:qFormat/>
    <w:rPr/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5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6">
    <w:name w:val="Subtitle"/>
    <w:basedOn w:val="Normal"/>
    <w:next w:val="Normal"/>
    <w:link w:val="a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27">
    <w:name w:val="Endnote Text"/>
    <w:basedOn w:val="Normal"/>
    <w:link w:val="ac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Style161" w:customStyle="1">
    <w:name w:val="Style16"/>
    <w:basedOn w:val="Normal"/>
    <w:uiPriority w:val="99"/>
    <w:qFormat/>
    <w:pPr>
      <w:widowControl w:val="false"/>
      <w:spacing w:lineRule="exact" w:line="363" w:before="0" w:after="0"/>
      <w:ind w:firstLine="715"/>
      <w:jc w:val="both"/>
    </w:pPr>
    <w:rPr>
      <w:rFonts w:ascii="Bookman Old Style" w:hAnsi="Bookman Old Style" w:eastAsia="Arial" w:eastAsiaTheme="minorEastAsia"/>
      <w:sz w:val="24"/>
      <w:szCs w:val="24"/>
      <w:lang w:eastAsia="ru-RU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f2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af4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Style31">
    <w:name w:val="Footnote Text"/>
    <w:basedOn w:val="Normal"/>
    <w:link w:val="af9"/>
    <w:uiPriority w:val="99"/>
    <w:unhideWhenUsed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afc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aff"/>
    <w:uiPriority w:val="99"/>
    <w:semiHidden/>
    <w:unhideWhenUsed/>
    <w:qFormat/>
    <w:rsid w:val="00f754a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7b527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946AC-6B1E-4A2B-915D-9D1918C8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LibreOffice/7.0.6.2$Linux_X86_64 LibreOffice_project/00$Build-2</Application>
  <AppVersion>15.0000</AppVersion>
  <Pages>18</Pages>
  <Words>3565</Words>
  <Characters>26400</Characters>
  <CharactersWithSpaces>29927</CharactersWithSpaces>
  <Paragraphs>176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2023-07-06T08:50:00Z</dcterms:created>
  <dc:creator>Корженевская Вероника Александровна</dc:creator>
  <dc:description/>
  <dc:language>ru-RU</dc:language>
  <cp:lastModifiedBy/>
  <cp:lastPrinted>2023-07-28T12:43:03Z</cp:lastPrinted>
  <dcterms:modified xsi:type="dcterms:W3CDTF">2023-07-28T12:43:31Z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